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DDBB" w14:textId="77777777" w:rsidR="00FF26E4" w:rsidRPr="00601D66" w:rsidRDefault="00601D66" w:rsidP="00601D6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1D66">
        <w:rPr>
          <w:b/>
          <w:sz w:val="32"/>
          <w:szCs w:val="32"/>
        </w:rPr>
        <w:t>Notes from Interpreters in medical settings</w:t>
      </w:r>
    </w:p>
    <w:p w14:paraId="19E644CC" w14:textId="77777777" w:rsidR="00601D66" w:rsidRPr="00601D66" w:rsidRDefault="00601D66" w:rsidP="0060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MYAN WA </w:t>
      </w:r>
      <w:r w:rsidRPr="00601D66">
        <w:rPr>
          <w:b/>
          <w:sz w:val="32"/>
          <w:szCs w:val="32"/>
        </w:rPr>
        <w:t>Working Group meeting 1</w:t>
      </w:r>
    </w:p>
    <w:p w14:paraId="31EA153C" w14:textId="77777777" w:rsidR="00601D66" w:rsidRDefault="00601D66" w:rsidP="00601D6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Doctors and dentists are often refusing to use interpreters, Government bodies are </w:t>
      </w:r>
      <w:r w:rsidR="00854607">
        <w:rPr>
          <w:szCs w:val="24"/>
        </w:rPr>
        <w:t xml:space="preserve">also </w:t>
      </w:r>
      <w:r>
        <w:rPr>
          <w:szCs w:val="24"/>
        </w:rPr>
        <w:t xml:space="preserve">often </w:t>
      </w:r>
      <w:r w:rsidR="00854607">
        <w:rPr>
          <w:szCs w:val="24"/>
        </w:rPr>
        <w:t xml:space="preserve">not </w:t>
      </w:r>
      <w:r>
        <w:rPr>
          <w:szCs w:val="24"/>
        </w:rPr>
        <w:t>using to use interpreters for young people (or their families) – group discussed a couple of examples</w:t>
      </w:r>
    </w:p>
    <w:p w14:paraId="7C3D7170" w14:textId="77777777" w:rsidR="00601D66" w:rsidRPr="00352E43" w:rsidRDefault="00352E43" w:rsidP="007E5011">
      <w:pPr>
        <w:rPr>
          <w:b/>
          <w:szCs w:val="24"/>
        </w:rPr>
      </w:pPr>
      <w:r w:rsidRPr="00352E43">
        <w:rPr>
          <w:b/>
          <w:szCs w:val="24"/>
        </w:rPr>
        <w:t>Action:</w:t>
      </w:r>
      <w:r w:rsidRPr="00352E43">
        <w:rPr>
          <w:b/>
          <w:szCs w:val="24"/>
        </w:rPr>
        <w:tab/>
      </w:r>
      <w:r w:rsidR="00601D66" w:rsidRPr="00352E43">
        <w:rPr>
          <w:b/>
          <w:szCs w:val="24"/>
        </w:rPr>
        <w:t>Liand</w:t>
      </w:r>
      <w:r w:rsidRPr="00352E43">
        <w:rPr>
          <w:b/>
          <w:szCs w:val="24"/>
        </w:rPr>
        <w:t>a to put a call out to the network to collect case studies</w:t>
      </w:r>
    </w:p>
    <w:p w14:paraId="5C35E34D" w14:textId="77777777" w:rsidR="00352E43" w:rsidRPr="00352E43" w:rsidRDefault="007E5011" w:rsidP="007E5011">
      <w:pPr>
        <w:rPr>
          <w:color w:val="FF0000"/>
          <w:szCs w:val="24"/>
        </w:rPr>
      </w:pPr>
      <w:r>
        <w:rPr>
          <w:color w:val="FF0000"/>
          <w:szCs w:val="24"/>
        </w:rPr>
        <w:t xml:space="preserve">Update: </w:t>
      </w:r>
      <w:r w:rsidR="00352E43" w:rsidRPr="00352E43">
        <w:rPr>
          <w:color w:val="FF0000"/>
          <w:szCs w:val="24"/>
        </w:rPr>
        <w:t>Completed, but no case studies collected</w:t>
      </w:r>
    </w:p>
    <w:p w14:paraId="1A5DE681" w14:textId="77777777" w:rsidR="00352E43" w:rsidRDefault="00352E43" w:rsidP="00352E4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Point was made that the public sector has a clear policy and that Government agencies are responsible for providing appropriate translation services. It was agreed that the challenges with this were three-fold:</w:t>
      </w:r>
    </w:p>
    <w:p w14:paraId="1F609B10" w14:textId="77777777" w:rsidR="00352E43" w:rsidRDefault="00352E43" w:rsidP="00352E4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That these weren’t always (even when they should be)</w:t>
      </w:r>
    </w:p>
    <w:p w14:paraId="58297121" w14:textId="77777777" w:rsidR="00352E43" w:rsidRDefault="00352E43" w:rsidP="00352E4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They aren’t always asked for by the patient even when needed</w:t>
      </w:r>
    </w:p>
    <w:p w14:paraId="48E5E14B" w14:textId="77777777" w:rsidR="00352E43" w:rsidRDefault="00352E43" w:rsidP="00352E4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That it didn’t cover GPs or private providers</w:t>
      </w:r>
    </w:p>
    <w:p w14:paraId="3600E013" w14:textId="77777777" w:rsidR="007E5011" w:rsidRPr="00854607" w:rsidRDefault="00352E43" w:rsidP="00854607">
      <w:pPr>
        <w:rPr>
          <w:szCs w:val="24"/>
        </w:rPr>
      </w:pPr>
      <w:r w:rsidRPr="00854607">
        <w:rPr>
          <w:szCs w:val="24"/>
        </w:rPr>
        <w:t>There was a discussion around making complaints if/when interpreters are refused in this context or not used when needed, and that every Government department has a complaints procedure. It was agreed that this is highly inaccessible to pe</w:t>
      </w:r>
      <w:r w:rsidR="00344555" w:rsidRPr="00854607">
        <w:rPr>
          <w:szCs w:val="24"/>
        </w:rPr>
        <w:t>ople from refugee and also often</w:t>
      </w:r>
      <w:r w:rsidRPr="00854607">
        <w:rPr>
          <w:szCs w:val="24"/>
        </w:rPr>
        <w:t xml:space="preserve"> migrant backgrounds, either </w:t>
      </w:r>
      <w:r w:rsidR="00344555" w:rsidRPr="00854607">
        <w:rPr>
          <w:szCs w:val="24"/>
        </w:rPr>
        <w:t>through</w:t>
      </w:r>
      <w:r w:rsidRPr="00854607">
        <w:rPr>
          <w:szCs w:val="24"/>
        </w:rPr>
        <w:t xml:space="preserve"> lack of knowledge, l</w:t>
      </w:r>
      <w:r w:rsidR="00854607" w:rsidRPr="00854607">
        <w:rPr>
          <w:szCs w:val="24"/>
        </w:rPr>
        <w:t>ack of language accessibility or</w:t>
      </w:r>
      <w:r w:rsidRPr="00854607">
        <w:rPr>
          <w:szCs w:val="24"/>
        </w:rPr>
        <w:t xml:space="preserve"> fear of using such systems due to their background of trauma or prior experiences with authority.</w:t>
      </w:r>
    </w:p>
    <w:p w14:paraId="5AA10CF8" w14:textId="77777777" w:rsidR="00352E43" w:rsidRDefault="007E5011" w:rsidP="00352E4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There was a suggestion that there needed to be more work done with those that are newly arrived a</w:t>
      </w:r>
      <w:r w:rsidR="00854607">
        <w:rPr>
          <w:szCs w:val="24"/>
        </w:rPr>
        <w:t>round</w:t>
      </w:r>
      <w:r>
        <w:rPr>
          <w:szCs w:val="24"/>
        </w:rPr>
        <w:t xml:space="preserve"> asked for interpreter. However, others felt that they were already overloaded with information when they first come to Australia.</w:t>
      </w:r>
    </w:p>
    <w:p w14:paraId="6F7B7EA7" w14:textId="77777777" w:rsidR="007E5011" w:rsidRDefault="007E5011" w:rsidP="007E5011">
      <w:pPr>
        <w:pStyle w:val="ListParagraph"/>
        <w:rPr>
          <w:szCs w:val="24"/>
        </w:rPr>
      </w:pPr>
    </w:p>
    <w:p w14:paraId="6FB6B078" w14:textId="77777777" w:rsidR="007E5011" w:rsidRDefault="00854607" w:rsidP="007E501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There was a</w:t>
      </w:r>
      <w:r w:rsidR="007E5011">
        <w:rPr>
          <w:szCs w:val="24"/>
        </w:rPr>
        <w:t>greement that we needed to get more people from medical settings around the table, including Health Consumers Council and WA Primary Health Alliance</w:t>
      </w:r>
    </w:p>
    <w:p w14:paraId="4E9CE9B3" w14:textId="77777777" w:rsidR="007E5011" w:rsidRPr="007E5011" w:rsidRDefault="007E5011" w:rsidP="007E5011">
      <w:pPr>
        <w:rPr>
          <w:b/>
          <w:szCs w:val="24"/>
        </w:rPr>
      </w:pPr>
      <w:r w:rsidRPr="007E5011">
        <w:rPr>
          <w:b/>
          <w:szCs w:val="24"/>
        </w:rPr>
        <w:t>Action: Lianda to invite people dis</w:t>
      </w:r>
      <w:r>
        <w:rPr>
          <w:b/>
          <w:szCs w:val="24"/>
        </w:rPr>
        <w:t>cussed</w:t>
      </w:r>
      <w:r w:rsidRPr="007E5011">
        <w:rPr>
          <w:b/>
          <w:szCs w:val="24"/>
        </w:rPr>
        <w:t xml:space="preserve"> to next meeting</w:t>
      </w:r>
    </w:p>
    <w:p w14:paraId="74BE4679" w14:textId="77777777" w:rsidR="007E5011" w:rsidRDefault="007E5011" w:rsidP="007E5011">
      <w:pPr>
        <w:rPr>
          <w:color w:val="FF0000"/>
          <w:szCs w:val="24"/>
        </w:rPr>
      </w:pPr>
      <w:r w:rsidRPr="007E5011">
        <w:rPr>
          <w:color w:val="FF0000"/>
          <w:szCs w:val="24"/>
        </w:rPr>
        <w:t>Update: Completed – Lianda invited Louse Forward from the HCC, someone from WAPHA</w:t>
      </w:r>
      <w:r w:rsidR="00854607">
        <w:rPr>
          <w:color w:val="FF0000"/>
          <w:szCs w:val="24"/>
        </w:rPr>
        <w:t xml:space="preserve"> (possibly coming)</w:t>
      </w:r>
      <w:r w:rsidRPr="007E5011">
        <w:rPr>
          <w:color w:val="FF0000"/>
          <w:szCs w:val="24"/>
        </w:rPr>
        <w:t>, Black Swan Health (did not hear back); Mirrabooka Medial Centre (heard back but not able to attend</w:t>
      </w:r>
      <w:r w:rsidR="00854607">
        <w:rPr>
          <w:color w:val="FF0000"/>
          <w:szCs w:val="24"/>
        </w:rPr>
        <w:t>, want to know about next one</w:t>
      </w:r>
      <w:r w:rsidRPr="007E5011">
        <w:rPr>
          <w:color w:val="FF0000"/>
          <w:szCs w:val="24"/>
        </w:rPr>
        <w:t>); Refugee Health (representative attending)</w:t>
      </w:r>
    </w:p>
    <w:p w14:paraId="42A296FA" w14:textId="77777777" w:rsidR="007E5011" w:rsidRPr="007E5011" w:rsidRDefault="007E5011" w:rsidP="007E5011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It was agreed that young people’s access to interpreters in medical settings was broad and complex and that it might be good to narrow </w:t>
      </w:r>
      <w:r w:rsidR="00854607">
        <w:rPr>
          <w:szCs w:val="24"/>
        </w:rPr>
        <w:t xml:space="preserve">or target our </w:t>
      </w:r>
      <w:r>
        <w:rPr>
          <w:szCs w:val="24"/>
        </w:rPr>
        <w:t>focus on one particular area, i.e. GPs and that at the next meeting we’d need to look at our strategy</w:t>
      </w:r>
      <w:r w:rsidR="00854607">
        <w:rPr>
          <w:szCs w:val="24"/>
        </w:rPr>
        <w:t xml:space="preserve"> and stakeholder engagement</w:t>
      </w:r>
    </w:p>
    <w:sectPr w:rsidR="007E5011" w:rsidRPr="007E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3783"/>
    <w:multiLevelType w:val="multilevel"/>
    <w:tmpl w:val="D22440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933AB3"/>
    <w:multiLevelType w:val="hybridMultilevel"/>
    <w:tmpl w:val="4A308690"/>
    <w:lvl w:ilvl="0" w:tplc="199A674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319"/>
    <w:multiLevelType w:val="hybridMultilevel"/>
    <w:tmpl w:val="D566353A"/>
    <w:lvl w:ilvl="0" w:tplc="199A674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F30D2"/>
    <w:multiLevelType w:val="hybridMultilevel"/>
    <w:tmpl w:val="CCEAA3B2"/>
    <w:lvl w:ilvl="0" w:tplc="199A674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769"/>
    <w:multiLevelType w:val="hybridMultilevel"/>
    <w:tmpl w:val="411E7818"/>
    <w:lvl w:ilvl="0" w:tplc="AB2A0BD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9D1322"/>
    <w:multiLevelType w:val="hybridMultilevel"/>
    <w:tmpl w:val="B44069DE"/>
    <w:lvl w:ilvl="0" w:tplc="5FEC665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1E07"/>
    <w:multiLevelType w:val="hybridMultilevel"/>
    <w:tmpl w:val="71485054"/>
    <w:lvl w:ilvl="0" w:tplc="AB2A0BDE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6"/>
    <w:rsid w:val="00000A78"/>
    <w:rsid w:val="00344555"/>
    <w:rsid w:val="00352E43"/>
    <w:rsid w:val="003F2C98"/>
    <w:rsid w:val="00406C8A"/>
    <w:rsid w:val="005D4D57"/>
    <w:rsid w:val="00601D66"/>
    <w:rsid w:val="006165AD"/>
    <w:rsid w:val="00694751"/>
    <w:rsid w:val="007E5011"/>
    <w:rsid w:val="00823374"/>
    <w:rsid w:val="00854607"/>
    <w:rsid w:val="00920FC4"/>
    <w:rsid w:val="00AE2483"/>
    <w:rsid w:val="00B63AF6"/>
    <w:rsid w:val="00C3488F"/>
    <w:rsid w:val="00D91874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65DC"/>
  <w15:chartTrackingRefBased/>
  <w15:docId w15:val="{375C8514-50E7-4299-A05B-F1448F7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D66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78"/>
    <w:pPr>
      <w:keepNext/>
      <w:keepLines/>
      <w:numPr>
        <w:numId w:val="2"/>
      </w:numPr>
      <w:spacing w:before="240" w:after="80"/>
      <w:ind w:left="357"/>
      <w:outlineLvl w:val="0"/>
    </w:pPr>
    <w:rPr>
      <w:rFonts w:eastAsiaTheme="majorEastAsia" w:cstheme="majorBidi"/>
      <w:color w:val="ED7D31" w:themeColor="accent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A78"/>
    <w:rPr>
      <w:rFonts w:ascii="Arial Narrow" w:eastAsiaTheme="majorEastAsia" w:hAnsi="Arial Narrow" w:cstheme="majorBidi"/>
      <w:color w:val="ED7D31" w:themeColor="accent2"/>
      <w:sz w:val="40"/>
      <w:szCs w:val="32"/>
    </w:rPr>
  </w:style>
  <w:style w:type="paragraph" w:styleId="ListParagraph">
    <w:name w:val="List Paragraph"/>
    <w:basedOn w:val="Normal"/>
    <w:uiPriority w:val="34"/>
    <w:qFormat/>
    <w:rsid w:val="0060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Lianda Gibson</dc:creator>
  <cp:keywords/>
  <dc:description/>
  <cp:lastModifiedBy>lianda@yacwa.org.au</cp:lastModifiedBy>
  <cp:revision>2</cp:revision>
  <dcterms:created xsi:type="dcterms:W3CDTF">2017-12-12T02:55:00Z</dcterms:created>
  <dcterms:modified xsi:type="dcterms:W3CDTF">2017-12-12T02:55:00Z</dcterms:modified>
</cp:coreProperties>
</file>